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78F6B564" w:rsidR="00F64FFA" w:rsidRDefault="00A851A0" w:rsidP="00BF5171">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6A3E5175">
                <wp:simplePos x="0" y="0"/>
                <wp:positionH relativeFrom="margin">
                  <wp:align>left</wp:align>
                </wp:positionH>
                <wp:positionV relativeFrom="paragraph">
                  <wp:posOffset>40640</wp:posOffset>
                </wp:positionV>
                <wp:extent cx="5838825" cy="601980"/>
                <wp:effectExtent l="0" t="0" r="28575"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38825"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75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172B88A7" w:rsidR="00F64FFA" w:rsidRDefault="005B396E">
            <w:pPr>
              <w:pStyle w:val="NoSpacing"/>
            </w:pPr>
            <w:r>
              <w:t>4 June</w:t>
            </w:r>
            <w:r w:rsidR="00A851A0">
              <w:t xml:space="preserve"> 2020</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5F27EBAF" w:rsidR="00F64FFA" w:rsidRDefault="00447825">
            <w:pPr>
              <w:pStyle w:val="NoSpacing"/>
            </w:pPr>
            <w:r>
              <w:t>I</w:t>
            </w:r>
            <w:r w:rsidR="0038696F">
              <w:t>RP</w:t>
            </w:r>
            <w:r w:rsidR="00BF5171">
              <w:t>628</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371774F7" w:rsidR="00F64FFA" w:rsidRDefault="001B2922">
            <w:pPr>
              <w:pStyle w:val="NoSpacing"/>
            </w:pPr>
            <w:r>
              <w:t>TS1</w:t>
            </w:r>
            <w:r w:rsidR="00852C58">
              <w:t>194</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5A9C5B18" w:rsidR="00F64FFA" w:rsidRDefault="00852C58">
            <w:pPr>
              <w:pStyle w:val="NoSpacing"/>
            </w:pPr>
            <w:r w:rsidRPr="00852C58">
              <w:t xml:space="preserve">Inconsistency in IRP461 </w:t>
            </w:r>
            <w:r w:rsidR="00A851A0">
              <w:t>-</w:t>
            </w:r>
            <w:r w:rsidRPr="00852C58">
              <w:t xml:space="preserve"> GBCS v3.2 sec 14.3.7</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3B34EF1B" w:rsidR="00F64FFA" w:rsidRDefault="00447825">
            <w:pPr>
              <w:pStyle w:val="NoSpacing"/>
            </w:pPr>
            <w:r>
              <w:t>L&amp;G</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54EE7662" w:rsidR="001B2922" w:rsidRDefault="00852C58" w:rsidP="001B2922">
            <w:pPr>
              <w:pStyle w:val="NoSpacing"/>
            </w:pPr>
            <w:r w:rsidRPr="00852C58">
              <w:t>19/08/2019</w:t>
            </w:r>
          </w:p>
        </w:tc>
      </w:tr>
      <w:tr w:rsidR="001B2922" w14:paraId="6B2B5221" w14:textId="77777777" w:rsidTr="001B2922">
        <w:trPr>
          <w:trHeight w:val="359"/>
        </w:trPr>
        <w:tc>
          <w:tcPr>
            <w:tcW w:w="3936" w:type="dxa"/>
            <w:shd w:val="clear" w:color="auto" w:fill="auto"/>
          </w:tcPr>
          <w:p w14:paraId="1BAC6485" w14:textId="77777777" w:rsidR="001B2922" w:rsidRDefault="001B2922" w:rsidP="001B2922">
            <w:pPr>
              <w:pStyle w:val="NoSpacing"/>
              <w:rPr>
                <w:b/>
              </w:rPr>
            </w:pPr>
            <w:r>
              <w:rPr>
                <w:b/>
              </w:rPr>
              <w:t>Status</w:t>
            </w:r>
          </w:p>
        </w:tc>
        <w:tc>
          <w:tcPr>
            <w:tcW w:w="5244" w:type="dxa"/>
            <w:shd w:val="clear" w:color="auto" w:fill="auto"/>
          </w:tcPr>
          <w:p w14:paraId="3F98FCE9" w14:textId="7D69E8CB" w:rsidR="001B2922" w:rsidRDefault="00A851A0" w:rsidP="001B2922">
            <w:pPr>
              <w:pStyle w:val="NoSpacing"/>
            </w:pPr>
            <w:r>
              <w:t>Draft v0_1</w:t>
            </w:r>
          </w:p>
        </w:tc>
      </w:tr>
      <w:tr w:rsidR="001B2922" w14:paraId="33A9928F" w14:textId="77777777" w:rsidTr="001B2922">
        <w:tc>
          <w:tcPr>
            <w:tcW w:w="3936" w:type="dxa"/>
            <w:shd w:val="clear" w:color="auto" w:fill="auto"/>
          </w:tcPr>
          <w:p w14:paraId="77FAB3DF" w14:textId="77777777" w:rsidR="001B2922" w:rsidRDefault="001B2922" w:rsidP="001B2922">
            <w:pPr>
              <w:pStyle w:val="NoSpacing"/>
              <w:rPr>
                <w:i/>
                <w:sz w:val="16"/>
                <w:szCs w:val="16"/>
              </w:rPr>
            </w:pPr>
            <w:r>
              <w:rPr>
                <w:b/>
              </w:rPr>
              <w:t>Documentation Reference</w:t>
            </w:r>
          </w:p>
        </w:tc>
        <w:tc>
          <w:tcPr>
            <w:tcW w:w="5244" w:type="dxa"/>
            <w:shd w:val="clear" w:color="auto" w:fill="auto"/>
          </w:tcPr>
          <w:p w14:paraId="67D363D3" w14:textId="7D299978" w:rsidR="001B2922" w:rsidRDefault="001B2922" w:rsidP="001B2922">
            <w:pPr>
              <w:pStyle w:val="NoSpacing"/>
            </w:pPr>
            <w:r>
              <w:t>GBCS</w:t>
            </w:r>
            <w:r w:rsidR="00A851A0">
              <w:t xml:space="preserve"> v3.2</w:t>
            </w:r>
          </w:p>
        </w:tc>
      </w:tr>
    </w:tbl>
    <w:p w14:paraId="0B6849ED" w14:textId="77777777" w:rsidR="00F64FFA" w:rsidRDefault="0038696F">
      <w:pPr>
        <w:tabs>
          <w:tab w:val="left" w:pos="2507"/>
        </w:tabs>
        <w:rPr>
          <w:b/>
          <w:sz w:val="24"/>
          <w:szCs w:val="24"/>
        </w:rPr>
      </w:pPr>
      <w:r>
        <w:rPr>
          <w:b/>
          <w:sz w:val="24"/>
          <w:szCs w:val="24"/>
        </w:rPr>
        <w:t>Description:</w:t>
      </w:r>
      <w:r>
        <w:rPr>
          <w:b/>
          <w:sz w:val="24"/>
          <w:szCs w:val="24"/>
        </w:rPr>
        <w:tab/>
      </w:r>
    </w:p>
    <w:p w14:paraId="78504A23" w14:textId="77777777" w:rsidR="00852C58" w:rsidRDefault="00852C58" w:rsidP="00852C58">
      <w:bookmarkStart w:id="1" w:name="_Hlk39131530"/>
      <w:r>
        <w:t>A perceived inconsistency in the documentation:</w:t>
      </w:r>
    </w:p>
    <w:p w14:paraId="7B1D1E0F" w14:textId="5C34D2F9" w:rsidR="00852C58" w:rsidRDefault="00852C58" w:rsidP="00852C58">
      <w:pPr>
        <w:rPr>
          <w:b/>
          <w:sz w:val="24"/>
          <w:szCs w:val="24"/>
        </w:rPr>
      </w:pPr>
      <w:r>
        <w:t xml:space="preserve">IRP461, identified in point 4, that Sec 14.3.7 of GBCS talks about the updating the flag for UTRN Counter Cache.  </w:t>
      </w:r>
      <w:proofErr w:type="gramStart"/>
      <w:r>
        <w:t>The 'proposed position' section of this document,</w:t>
      </w:r>
      <w:proofErr w:type="gramEnd"/>
      <w:r>
        <w:t xml:space="preserve"> clarifies in Point 4 and 5 that this flag is no longer required.  Although Table 14.1 has been updated to reflect that, Sec 14.3.7 of GBCS v3.2 </w:t>
      </w:r>
      <w:proofErr w:type="gramStart"/>
      <w:r>
        <w:t>still continues</w:t>
      </w:r>
      <w:proofErr w:type="gramEnd"/>
      <w:r>
        <w:t xml:space="preserve"> to mention the use of this flag.  Perhaps Sec 14.3.7 </w:t>
      </w:r>
      <w:proofErr w:type="gramStart"/>
      <w:r>
        <w:t>has to</w:t>
      </w:r>
      <w:proofErr w:type="gramEnd"/>
      <w:r>
        <w:t xml:space="preserve"> be changed to reflect the proposed position as well and to maintain consistency in the specification?</w:t>
      </w:r>
      <w:r>
        <w:rPr>
          <w:b/>
          <w:sz w:val="24"/>
          <w:szCs w:val="24"/>
        </w:rPr>
        <w:t xml:space="preserve"> </w:t>
      </w:r>
    </w:p>
    <w:bookmarkEnd w:id="1"/>
    <w:p w14:paraId="75C09DE5" w14:textId="77777777" w:rsidR="00BF5171" w:rsidRDefault="00BF5171" w:rsidP="00852C58">
      <w:pPr>
        <w:rPr>
          <w:b/>
          <w:sz w:val="24"/>
          <w:szCs w:val="24"/>
        </w:rPr>
      </w:pPr>
    </w:p>
    <w:p w14:paraId="06C863B2" w14:textId="0510EF7F" w:rsidR="00F64FFA" w:rsidRDefault="0038696F" w:rsidP="00852C58">
      <w:pPr>
        <w:rPr>
          <w:b/>
          <w:sz w:val="24"/>
          <w:szCs w:val="24"/>
        </w:rPr>
      </w:pPr>
      <w:r>
        <w:rPr>
          <w:b/>
          <w:sz w:val="24"/>
          <w:szCs w:val="24"/>
        </w:rPr>
        <w:t>Proposed Position:</w:t>
      </w:r>
    </w:p>
    <w:p w14:paraId="23D4675E" w14:textId="63466CEF" w:rsidR="00C327FB" w:rsidRDefault="00852C58" w:rsidP="00A112DB">
      <w:pPr>
        <w:rPr>
          <w:bCs/>
        </w:rPr>
      </w:pPr>
      <w:r>
        <w:rPr>
          <w:bCs/>
        </w:rPr>
        <w:t>As explained in IRP461</w:t>
      </w:r>
      <w:r w:rsidR="006D7CC4">
        <w:rPr>
          <w:rStyle w:val="FootnoteReference"/>
          <w:bCs/>
        </w:rPr>
        <w:footnoteReference w:id="1"/>
      </w:r>
      <w:r>
        <w:rPr>
          <w:bCs/>
        </w:rPr>
        <w:t>:</w:t>
      </w:r>
    </w:p>
    <w:p w14:paraId="4CCFEFEB" w14:textId="42311C54" w:rsidR="00852C58" w:rsidRDefault="00BF5171" w:rsidP="00852C58">
      <w:pPr>
        <w:ind w:left="327"/>
      </w:pPr>
      <w:r>
        <w:t>‘</w:t>
      </w:r>
      <w:r w:rsidR="00852C58" w:rsidRPr="00B85CFB">
        <w:t xml:space="preserve">The requirement for a flag against each UTRN Counter Cache entry comes from a time when consideration was being given to a range of mechanisms to protect against </w:t>
      </w:r>
      <w:r w:rsidR="00852C58">
        <w:t xml:space="preserve">potential </w:t>
      </w:r>
      <w:r w:rsidR="00852C58" w:rsidRPr="00B85CFB">
        <w:t xml:space="preserve">attacks from other HAN Devices, in relation to UTRN entry. The conclusion reached on that </w:t>
      </w:r>
      <w:r w:rsidR="00852C58">
        <w:t xml:space="preserve">work </w:t>
      </w:r>
      <w:r w:rsidR="00852C58" w:rsidRPr="00B85CFB">
        <w:t>was the SMETS requirement which states that Smart Meters need to be capable of ‘</w:t>
      </w:r>
      <w:r w:rsidR="00852C58" w:rsidRPr="00B85CFB">
        <w:rPr>
          <w:i/>
        </w:rPr>
        <w:t>controlling the number of invalid UTRN entries entered and processed’</w:t>
      </w:r>
      <w:r w:rsidR="00852C58" w:rsidRPr="00B85CFB">
        <w:t xml:space="preserve">. </w:t>
      </w:r>
    </w:p>
    <w:p w14:paraId="6033EC00" w14:textId="5F3E084B" w:rsidR="00852C58" w:rsidRDefault="00852C58" w:rsidP="00852C58">
      <w:pPr>
        <w:ind w:left="327"/>
      </w:pPr>
      <w:r w:rsidRPr="00B85CFB">
        <w:t xml:space="preserve">The SMETS requirement </w:t>
      </w:r>
      <w:proofErr w:type="gramStart"/>
      <w:r w:rsidRPr="00B85CFB">
        <w:t>doesn’t</w:t>
      </w:r>
      <w:proofErr w:type="gramEnd"/>
      <w:r w:rsidRPr="00B85CFB">
        <w:t xml:space="preserve"> need the flags in the UTRN Counter Cache (since the </w:t>
      </w:r>
      <w:r>
        <w:t xml:space="preserve">SMETS </w:t>
      </w:r>
      <w:r w:rsidRPr="00B85CFB">
        <w:t xml:space="preserve">requirement relates to invalid UTRNs and the Counter Cache only has details for valid UTRNs). Further, there is no way to read those flags (they </w:t>
      </w:r>
      <w:proofErr w:type="gramStart"/>
      <w:r w:rsidRPr="00B85CFB">
        <w:t>can’t</w:t>
      </w:r>
      <w:proofErr w:type="gramEnd"/>
      <w:r w:rsidRPr="00B85CFB">
        <w:t xml:space="preserve"> be read in the Billing Data Log Use Cases and there is no requirement to share with HAN Devices). </w:t>
      </w:r>
      <w:r w:rsidR="00BF5171">
        <w:t xml:space="preserve"> </w:t>
      </w:r>
      <w:r w:rsidRPr="00B85CFB">
        <w:t>So</w:t>
      </w:r>
      <w:r w:rsidR="00BF5171">
        <w:t>,</w:t>
      </w:r>
      <w:r w:rsidRPr="00B85CFB">
        <w:t xml:space="preserve"> the requirement for these internal flags </w:t>
      </w:r>
      <w:proofErr w:type="gramStart"/>
      <w:r w:rsidRPr="00B85CFB">
        <w:t>doesn’t</w:t>
      </w:r>
      <w:proofErr w:type="gramEnd"/>
      <w:r w:rsidRPr="00B85CFB">
        <w:t xml:space="preserve"> lead to any external, mandated behaviour.</w:t>
      </w:r>
      <w:r>
        <w:t xml:space="preserve"> </w:t>
      </w:r>
      <w:r w:rsidRPr="00B85CFB">
        <w:t xml:space="preserve"> To that end, manufacturers could choose any values fo</w:t>
      </w:r>
      <w:r>
        <w:t>r the flags. However, since the flags</w:t>
      </w:r>
      <w:r w:rsidRPr="00B85CFB">
        <w:t xml:space="preserve"> do not support any mandated external behaviour, the proposal is to remove </w:t>
      </w:r>
      <w:r>
        <w:t xml:space="preserve">the Device </w:t>
      </w:r>
      <w:r w:rsidRPr="00B85CFB">
        <w:t>requirement</w:t>
      </w:r>
      <w:r>
        <w:t xml:space="preserve"> for the flags</w:t>
      </w:r>
      <w:r w:rsidRPr="00B85CFB">
        <w:t>.</w:t>
      </w:r>
      <w:r w:rsidR="00BF5171">
        <w:t>’</w:t>
      </w:r>
    </w:p>
    <w:p w14:paraId="40BD86CB" w14:textId="12958CE9" w:rsidR="00852C58" w:rsidRDefault="00852C58" w:rsidP="00A112DB">
      <w:pPr>
        <w:rPr>
          <w:bCs/>
        </w:rPr>
      </w:pPr>
      <w:r>
        <w:rPr>
          <w:bCs/>
        </w:rPr>
        <w:t>By the same reasoning, the reference to this flag should also be removed from 14.3.7.</w:t>
      </w:r>
    </w:p>
    <w:p w14:paraId="1D4D7096" w14:textId="77777777" w:rsidR="00852C58" w:rsidRPr="00A112DB" w:rsidRDefault="00852C58" w:rsidP="00A112DB"/>
    <w:p w14:paraId="4FA9F35C" w14:textId="77777777" w:rsidR="00F64FFA" w:rsidRDefault="0038696F">
      <w:pPr>
        <w:rPr>
          <w:b/>
          <w:sz w:val="24"/>
          <w:szCs w:val="24"/>
        </w:rPr>
      </w:pPr>
      <w:r>
        <w:rPr>
          <w:b/>
          <w:sz w:val="24"/>
          <w:szCs w:val="24"/>
        </w:rPr>
        <w:lastRenderedPageBreak/>
        <w:t xml:space="preserve">Interoperability and / or Compatibility </w:t>
      </w:r>
    </w:p>
    <w:p w14:paraId="5B39F16C" w14:textId="79765452" w:rsidR="001B2922" w:rsidRDefault="00852C58">
      <w:pPr>
        <w:rPr>
          <w:rFonts w:eastAsia="Times New Roman" w:cs="Arial"/>
          <w:color w:val="000000"/>
          <w:lang w:eastAsia="en-GB"/>
        </w:rPr>
      </w:pPr>
      <w:r>
        <w:rPr>
          <w:rFonts w:eastAsia="Times New Roman" w:cs="Arial"/>
          <w:color w:val="000000"/>
          <w:lang w:eastAsia="en-GB"/>
        </w:rPr>
        <w:t xml:space="preserve">This text refers to internal Smart Meter functions that are not externally visible. </w:t>
      </w:r>
      <w:r w:rsidR="00BF5171">
        <w:rPr>
          <w:rFonts w:eastAsia="Times New Roman" w:cs="Arial"/>
          <w:color w:val="000000"/>
          <w:lang w:eastAsia="en-GB"/>
        </w:rPr>
        <w:t xml:space="preserve"> </w:t>
      </w:r>
      <w:r>
        <w:rPr>
          <w:rFonts w:eastAsia="Times New Roman" w:cs="Arial"/>
          <w:color w:val="000000"/>
          <w:lang w:eastAsia="en-GB"/>
        </w:rPr>
        <w:t>Thus, the change has no impact on interoperability or compatibility between Devices and Systems.</w:t>
      </w:r>
    </w:p>
    <w:p w14:paraId="032F21B0" w14:textId="600F9630" w:rsidR="00837B6E" w:rsidRDefault="00837B6E">
      <w:pPr>
        <w:spacing w:before="0" w:after="0"/>
        <w:rPr>
          <w:b/>
          <w:sz w:val="24"/>
          <w:szCs w:val="24"/>
        </w:rPr>
      </w:pPr>
    </w:p>
    <w:p w14:paraId="4055622C" w14:textId="47EFAB42" w:rsidR="00F64FFA" w:rsidRDefault="0038696F">
      <w:pPr>
        <w:rPr>
          <w:b/>
          <w:sz w:val="24"/>
          <w:szCs w:val="24"/>
        </w:rPr>
      </w:pPr>
      <w:r>
        <w:rPr>
          <w:b/>
          <w:sz w:val="24"/>
          <w:szCs w:val="24"/>
        </w:rPr>
        <w:t>Required Changes to Documentation:</w:t>
      </w:r>
    </w:p>
    <w:p w14:paraId="6FD8AC92" w14:textId="2E187219" w:rsidR="00044CD3" w:rsidRDefault="00852C58">
      <w:pPr>
        <w:rPr>
          <w:bCs/>
        </w:rPr>
      </w:pPr>
      <w:r>
        <w:rPr>
          <w:bCs/>
        </w:rPr>
        <w:t>In GBCS</w:t>
      </w:r>
      <w:r w:rsidR="00BF5171">
        <w:rPr>
          <w:bCs/>
        </w:rPr>
        <w:t xml:space="preserve"> Section 14.3.7</w:t>
      </w:r>
      <w:r>
        <w:rPr>
          <w:bCs/>
        </w:rPr>
        <w:t>, m</w:t>
      </w:r>
      <w:r w:rsidR="00044CD3" w:rsidRPr="0011199E">
        <w:rPr>
          <w:bCs/>
        </w:rPr>
        <w:t xml:space="preserve">ake the </w:t>
      </w:r>
      <w:r w:rsidR="00BF5171">
        <w:rPr>
          <w:bCs/>
        </w:rPr>
        <w:t>changes as shown in the mark-up below</w:t>
      </w:r>
      <w:r w:rsidR="00044CD3" w:rsidRPr="0011199E">
        <w:rPr>
          <w:bCs/>
        </w:rPr>
        <w:t>:</w:t>
      </w:r>
    </w:p>
    <w:p w14:paraId="7ADDEF10" w14:textId="77777777" w:rsidR="00BF5171" w:rsidRDefault="00BF5171">
      <w:pPr>
        <w:rPr>
          <w:bCs/>
        </w:rPr>
      </w:pPr>
    </w:p>
    <w:p w14:paraId="15CB3FD3" w14:textId="72D7118D" w:rsidR="00852C58" w:rsidRPr="0011199E" w:rsidRDefault="00852C58">
      <w:pPr>
        <w:rPr>
          <w:bCs/>
        </w:rPr>
      </w:pPr>
      <w:r>
        <w:rPr>
          <w:noProof/>
        </w:rPr>
        <w:drawing>
          <wp:inline distT="0" distB="0" distL="0" distR="0" wp14:anchorId="3FC938D9" wp14:editId="18CA15D2">
            <wp:extent cx="4838700" cy="1057275"/>
            <wp:effectExtent l="0" t="0" r="0" b="952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4838700" cy="1057275"/>
                    </a:xfrm>
                    <a:prstGeom prst="rect">
                      <a:avLst/>
                    </a:prstGeom>
                  </pic:spPr>
                </pic:pic>
              </a:graphicData>
            </a:graphic>
          </wp:inline>
        </w:drawing>
      </w:r>
    </w:p>
    <w:p w14:paraId="735FEBF8" w14:textId="61E1E4F4" w:rsidR="00044CD3" w:rsidRDefault="00BF5171" w:rsidP="00BF5171">
      <w:pPr>
        <w:rPr>
          <w:i/>
          <w:iCs/>
          <w:sz w:val="18"/>
          <w:szCs w:val="18"/>
        </w:rPr>
      </w:pPr>
      <w:r>
        <w:rPr>
          <w:sz w:val="18"/>
          <w:szCs w:val="18"/>
        </w:rPr>
        <w:tab/>
      </w:r>
      <w:r>
        <w:rPr>
          <w:i/>
          <w:iCs/>
          <w:sz w:val="18"/>
          <w:szCs w:val="18"/>
        </w:rPr>
        <w:t>&lt;run on as is…&gt;</w:t>
      </w:r>
    </w:p>
    <w:p w14:paraId="32193D5B" w14:textId="45E47F1F" w:rsidR="00BF5171" w:rsidRDefault="00BF5171" w:rsidP="00BF5171">
      <w:pPr>
        <w:rPr>
          <w:sz w:val="18"/>
          <w:szCs w:val="18"/>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BF5171">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BF5171">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BF5171">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3218E55E" w:rsidR="00F64FFA" w:rsidRDefault="00AB634D">
            <w:pPr>
              <w:pStyle w:val="NoSpacing"/>
            </w:pPr>
            <w:r>
              <w:t>None</w:t>
            </w:r>
          </w:p>
        </w:tc>
      </w:tr>
      <w:tr w:rsidR="00BF5171" w14:paraId="310159A4" w14:textId="77777777" w:rsidTr="00BF5171">
        <w:tblPrEx>
          <w:tblCellMar>
            <w:top w:w="0" w:type="dxa"/>
            <w:bottom w:w="0" w:type="dxa"/>
          </w:tblCellMar>
        </w:tblPrEx>
        <w:trPr>
          <w:trHeight w:val="485"/>
        </w:trPr>
        <w:tc>
          <w:tcPr>
            <w:tcW w:w="3865" w:type="dxa"/>
          </w:tcPr>
          <w:p w14:paraId="60A12A1D" w14:textId="77777777" w:rsidR="00BF5171" w:rsidRDefault="00BF5171" w:rsidP="005F5C04">
            <w:pPr>
              <w:pStyle w:val="NoSpacing"/>
              <w:rPr>
                <w:b/>
              </w:rPr>
            </w:pPr>
            <w:r>
              <w:rPr>
                <w:b/>
              </w:rPr>
              <w:t>Affected Parties</w:t>
            </w:r>
          </w:p>
        </w:tc>
        <w:tc>
          <w:tcPr>
            <w:tcW w:w="5197" w:type="dxa"/>
          </w:tcPr>
          <w:p w14:paraId="21D98649" w14:textId="77777777" w:rsidR="00BF5171" w:rsidRDefault="00BF5171" w:rsidP="005F5C04">
            <w:pPr>
              <w:pStyle w:val="NoSpacing"/>
            </w:pPr>
            <w:r>
              <w:t>No Parties believed to be affected as this is a document correction</w:t>
            </w:r>
          </w:p>
        </w:tc>
      </w:tr>
    </w:tbl>
    <w:p w14:paraId="79CA4E31" w14:textId="0CFC54A8" w:rsidR="001E227B" w:rsidRDefault="001E227B" w:rsidP="00E2557A">
      <w:pPr>
        <w:spacing w:before="0" w:after="0"/>
      </w:pPr>
    </w:p>
    <w:sectPr w:rsidR="001E227B" w:rsidSect="00BF5171">
      <w:headerReference w:type="even" r:id="rId13"/>
      <w:headerReference w:type="default" r:id="rId14"/>
      <w:footerReference w:type="even" r:id="rId15"/>
      <w:footerReference w:type="default" r:id="rId16"/>
      <w:headerReference w:type="first" r:id="rId17"/>
      <w:footerReference w:type="first" r:id="rId18"/>
      <w:pgSz w:w="11906" w:h="16838"/>
      <w:pgMar w:top="1418"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94382" w14:textId="77777777" w:rsidR="00FD2AD6" w:rsidRDefault="00FD2AD6">
      <w:pPr>
        <w:spacing w:before="0" w:after="0"/>
      </w:pPr>
      <w:r>
        <w:separator/>
      </w:r>
    </w:p>
  </w:endnote>
  <w:endnote w:type="continuationSeparator" w:id="0">
    <w:p w14:paraId="350E788F" w14:textId="77777777" w:rsidR="00FD2AD6" w:rsidRDefault="00FD2AD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D5689" w14:textId="77777777" w:rsidR="00FD2AD6" w:rsidRDefault="00FD2AD6">
      <w:pPr>
        <w:spacing w:before="0" w:after="0"/>
      </w:pPr>
      <w:r>
        <w:separator/>
      </w:r>
    </w:p>
  </w:footnote>
  <w:footnote w:type="continuationSeparator" w:id="0">
    <w:p w14:paraId="51C1E9DA" w14:textId="77777777" w:rsidR="00FD2AD6" w:rsidRDefault="00FD2AD6">
      <w:pPr>
        <w:spacing w:before="0" w:after="0"/>
      </w:pPr>
      <w:r>
        <w:continuationSeparator/>
      </w:r>
    </w:p>
  </w:footnote>
  <w:footnote w:id="1">
    <w:p w14:paraId="1FCDF3C7" w14:textId="5EB9C4E5" w:rsidR="006D7CC4" w:rsidRDefault="006D7CC4">
      <w:pPr>
        <w:pStyle w:val="FootnoteText"/>
      </w:pPr>
      <w:r>
        <w:rPr>
          <w:rStyle w:val="FootnoteReference"/>
        </w:rPr>
        <w:footnoteRef/>
      </w:r>
      <w:r>
        <w:t xml:space="preserve"> </w:t>
      </w:r>
      <w:r w:rsidRPr="00921083">
        <w:t>SMETS 4.5.2.2, 4.5.3.3, 5.6.2.2 and 5.6.3.3 all require that the Smart Meter must be capable of ‘</w:t>
      </w:r>
      <w:r w:rsidRPr="00921083">
        <w:rPr>
          <w:i/>
          <w:iCs/>
        </w:rPr>
        <w:t>controlling the number of invalid UTRN entries entered and processed'</w:t>
      </w:r>
      <w:r>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9"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2"/>
  </w:num>
  <w:num w:numId="2">
    <w:abstractNumId w:val="7"/>
  </w:num>
  <w:num w:numId="3">
    <w:abstractNumId w:val="5"/>
  </w:num>
  <w:num w:numId="4">
    <w:abstractNumId w:val="9"/>
  </w:num>
  <w:num w:numId="5">
    <w:abstractNumId w:val="9"/>
    <w:lvlOverride w:ilvl="0">
      <w:startOverride w:val="1"/>
    </w:lvlOverride>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3"/>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2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44CD3"/>
    <w:rsid w:val="00094E94"/>
    <w:rsid w:val="000B7CA5"/>
    <w:rsid w:val="0011199E"/>
    <w:rsid w:val="001343F2"/>
    <w:rsid w:val="00142A5D"/>
    <w:rsid w:val="001574F7"/>
    <w:rsid w:val="001805C4"/>
    <w:rsid w:val="0018198F"/>
    <w:rsid w:val="001A242E"/>
    <w:rsid w:val="001B2922"/>
    <w:rsid w:val="001C781A"/>
    <w:rsid w:val="001D0AA8"/>
    <w:rsid w:val="001E227B"/>
    <w:rsid w:val="002A11B0"/>
    <w:rsid w:val="002C046B"/>
    <w:rsid w:val="002D1B0F"/>
    <w:rsid w:val="002E5E78"/>
    <w:rsid w:val="00310658"/>
    <w:rsid w:val="00382AFD"/>
    <w:rsid w:val="0038696F"/>
    <w:rsid w:val="00432595"/>
    <w:rsid w:val="00447825"/>
    <w:rsid w:val="00530D16"/>
    <w:rsid w:val="00562558"/>
    <w:rsid w:val="00564C81"/>
    <w:rsid w:val="005B396E"/>
    <w:rsid w:val="005D705D"/>
    <w:rsid w:val="00673DF3"/>
    <w:rsid w:val="006D7CC4"/>
    <w:rsid w:val="007106F5"/>
    <w:rsid w:val="00731B78"/>
    <w:rsid w:val="00762008"/>
    <w:rsid w:val="00837B6E"/>
    <w:rsid w:val="00852C58"/>
    <w:rsid w:val="00882CA5"/>
    <w:rsid w:val="00897CDD"/>
    <w:rsid w:val="008D64EF"/>
    <w:rsid w:val="0091271F"/>
    <w:rsid w:val="00973EAA"/>
    <w:rsid w:val="009A4200"/>
    <w:rsid w:val="009E2B35"/>
    <w:rsid w:val="009E75DE"/>
    <w:rsid w:val="00A112DB"/>
    <w:rsid w:val="00A1345F"/>
    <w:rsid w:val="00A56C58"/>
    <w:rsid w:val="00A6610D"/>
    <w:rsid w:val="00A851A0"/>
    <w:rsid w:val="00AA4F21"/>
    <w:rsid w:val="00AB634D"/>
    <w:rsid w:val="00AC3F5F"/>
    <w:rsid w:val="00AC4E3F"/>
    <w:rsid w:val="00AD4D30"/>
    <w:rsid w:val="00AE4AFF"/>
    <w:rsid w:val="00B5030A"/>
    <w:rsid w:val="00B8684D"/>
    <w:rsid w:val="00BB4583"/>
    <w:rsid w:val="00BD6697"/>
    <w:rsid w:val="00BF5171"/>
    <w:rsid w:val="00C327FB"/>
    <w:rsid w:val="00C36395"/>
    <w:rsid w:val="00C60063"/>
    <w:rsid w:val="00CD7194"/>
    <w:rsid w:val="00CE50DF"/>
    <w:rsid w:val="00D13946"/>
    <w:rsid w:val="00D375DD"/>
    <w:rsid w:val="00D61212"/>
    <w:rsid w:val="00D64540"/>
    <w:rsid w:val="00DA3F03"/>
    <w:rsid w:val="00DE34E8"/>
    <w:rsid w:val="00E2557A"/>
    <w:rsid w:val="00E64504"/>
    <w:rsid w:val="00F64FFA"/>
    <w:rsid w:val="00FA69BB"/>
    <w:rsid w:val="00FC5942"/>
    <w:rsid w:val="00FD2AD6"/>
    <w:rsid w:val="00FE595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225456808">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overnment_x0020_Body xmlns="12cff280-46d3-4d75-8ec5-390382d392fa">BEIS</Government_x0020_Body>
    <Date_x0020_Opened xmlns="12cff280-46d3-4d75-8ec5-390382d392fa">2020-06-04T12:15:37+00:00</Date_x0020_Opened>
    <LegacyRecordCategoryIdentifier xmlns="12cff280-46d3-4d75-8ec5-390382d392fa" xsi:nil="true"/>
    <LegacyDateFileRequested xmlns="12cff280-46d3-4d75-8ec5-390382d392fa" xsi:nil="true"/>
    <LegacyFolderType xmlns="12cff280-46d3-4d75-8ec5-390382d392fa" xsi:nil="true"/>
    <LegacyRecordFolderIdentifier xmlns="12cff280-46d3-4d75-8ec5-390382d392fa" xsi:nil="true"/>
    <LegacyFolder xmlns="12cff280-46d3-4d75-8ec5-390382d392fa" xsi:nil="true"/>
    <LegacyMP xmlns="12cff280-46d3-4d75-8ec5-390382d392fa" xsi:nil="true"/>
    <LegacyDocumentID xmlns="12cff280-46d3-4d75-8ec5-390382d392fa" xsi:nil="true"/>
    <LegacyFolderDocumentID xmlns="12cff280-46d3-4d75-8ec5-390382d392fa" xsi:nil="true"/>
    <CIRRUSPreviousRetentionPolicy xmlns="abaa188e-4483-4430-9951-34468843f6d5" xsi:nil="true"/>
    <ExternallyShared xmlns="12cff280-46d3-4d75-8ec5-390382d392fa" xsi:nil="true"/>
    <Descriptor xmlns="12cff280-46d3-4d75-8ec5-390382d392fa">LOCSEN</Descriptor>
    <LegacyDateFileReceived xmlns="12cff280-46d3-4d75-8ec5-390382d392fa" xsi:nil="true"/>
    <LegacyFolderLink xmlns="12cff280-46d3-4d75-8ec5-390382d392fa" xsi:nil="true"/>
    <LegacyAdditionalAuthors xmlns="12cff280-46d3-4d75-8ec5-390382d392fa" xsi:nil="true"/>
    <LegacyDocumentLink xmlns="12cff280-46d3-4d75-8ec5-390382d392fa" xsi:nil="true"/>
    <CIRRUSPreviousLocation xmlns="12cff280-46d3-4d75-8ec5-390382d392fa" xsi:nil="true"/>
    <LegacyPhysicalItemLocation xmlns="12cff280-46d3-4d75-8ec5-390382d392fa" xsi:nil="true"/>
    <LegacyRequestType xmlns="12cff280-46d3-4d75-8ec5-390382d392fa" xsi:nil="true"/>
    <LegacyDescriptor xmlns="12cff280-46d3-4d75-8ec5-390382d392fa" xsi:nil="true"/>
    <LegacyLastModifiedDate xmlns="12cff280-46d3-4d75-8ec5-390382d392fa" xsi:nil="true"/>
    <LegacyDateClosed xmlns="12cff280-46d3-4d75-8ec5-390382d392fa" xsi:nil="true"/>
    <LegacyHomeLocation xmlns="12cff280-46d3-4d75-8ec5-390382d392fa" xsi:nil="true"/>
    <LegacyExpiryReviewDate xmlns="12cff280-46d3-4d75-8ec5-390382d392fa" xsi:nil="true"/>
    <LegacyPhysicalFormat xmlns="12cff280-46d3-4d75-8ec5-390382d392fa">false</LegacyPhysicalFormat>
    <LegacyDocumentType xmlns="12cff280-46d3-4d75-8ec5-390382d392fa" xsi:nil="true"/>
    <LegacyReferencesFromOtherItems xmlns="12cff280-46d3-4d75-8ec5-390382d392fa" xsi:nil="true"/>
    <LegacyLastActionDate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Security_x0020_Classification xmlns="12cff280-46d3-4d75-8ec5-390382d392fa">OFFICIAL</Security_x0020_Classification>
    <CIRRUSPreviousID xmlns="12cff280-46d3-4d75-8ec5-390382d392fa" xsi:nil="true"/>
    <LegacyModifier xmlns="12cff280-46d3-4d75-8ec5-390382d392fa">
      <UserInfo>
        <DisplayName/>
        <AccountId xsi:nil="true"/>
        <AccountType/>
      </UserInfo>
    </LegacyModifier>
    <LegacyStatusonTransfer xmlns="12cff280-46d3-4d75-8ec5-390382d392fa" xsi:nil="true"/>
    <LegacyDispositionAsOfDate xmlns="12cff280-46d3-4d75-8ec5-390382d392fa" xsi:nil="true"/>
    <LegacyMinister xmlns="12cff280-46d3-4d75-8ec5-390382d392fa" xsi:nil="true"/>
    <LegacyFileplanTarget xmlns="12cff280-46d3-4d75-8ec5-390382d392fa" xsi:nil="true"/>
    <LegacyContentType xmlns="12cff280-46d3-4d75-8ec5-390382d392fa" xsi:nil="true"/>
    <LegacyCustodian xmlns="12cff280-46d3-4d75-8ec5-390382d392fa" xsi:nil="true"/>
    <National_x0020_Caveat xmlns="12cff280-46d3-4d75-8ec5-390382d392fa" xsi:nil="true"/>
    <LegacyProtectiveMarking xmlns="12cff280-46d3-4d75-8ec5-390382d392fa" xsi:nil="true"/>
    <LegacyDateFileReturned xmlns="12cff280-46d3-4d75-8ec5-390382d392fa" xsi:nil="true"/>
    <LegacyReferencesToOtherItems xmlns="12cff280-46d3-4d75-8ec5-390382d392fa" xsi:nil="true"/>
    <LegacyCaseReferenceNumber xmlns="abaa188e-4483-4430-9951-34468843f6d5" xsi:nil="true"/>
    <Retention_x0020_Label xmlns="12cff280-46d3-4d75-8ec5-390382d392fa">HMG PPP Review</Retention_x0020_Label>
    <LegacyCopyright xmlns="12cff280-46d3-4d75-8ec5-390382d392fa" xsi:nil="true"/>
    <Handling_x0020_Instructions xmlns="12cff280-46d3-4d75-8ec5-390382d392fa" xsi:nil="true"/>
    <Date_x0020_Closed xmlns="12cff280-46d3-4d75-8ec5-390382d392fa" xsi:nil="true"/>
    <LegacyTags xmlns="12cff280-46d3-4d75-8ec5-390382d392fa" xsi:nil="true"/>
    <LegacyFolderNotes xmlns="12cff280-46d3-4d75-8ec5-390382d392fa" xsi:nil="true"/>
    <TaxCatchAll xmlns="12cff280-46d3-4d75-8ec5-390382d392fa">
      <Value>1</Value>
    </TaxCatchAll>
    <LegacyNumericClass xmlns="12cff280-46d3-4d75-8ec5-390382d392fa" xsi:nil="true"/>
    <LegacyCurrentLocation xmlns="12cff280-46d3-4d75-8ec5-390382d392fa" xsi:nil="true"/>
    <_dlc_DocId xmlns="12cff280-46d3-4d75-8ec5-390382d392fa">2QFN7KK647Q6-1153347766-94790</_dlc_DocId>
    <_dlc_DocIdUrl xmlns="12cff280-46d3-4d75-8ec5-390382d392fa">
      <Url>https://beisgov.sharepoint.com/sites/SMIP-EXT-423/_layouts/15/DocIdRedir.aspx?ID=2QFN7KK647Q6-1153347766-94790</Url>
      <Description>2QFN7KK647Q6-1153347766-94790</Description>
    </_dlc_DocIdUrl>
    <LegacyData xmlns="12cff280-46d3-4d75-8ec5-390382d392fa">{
  "Name": "IRP628 Inconsistency in IRP461 - GBCS v3.2 sec 14.3.7 v0_1.docx",
  "Title": "",
  "External": "",
  "Document Notes": "",
  "Security Classification": "OFFICIAL",
  "Handling Instructions": "",
  "Descriptor": "",
  "Government Body": "BEIS",
  "Business Unit": "BEIS:Energy, Transformation and Clean Growth:Smart Metering Implementation Programme",
  "Retention Label": "HMG PPP Review",
  "Date Opened": "2020-06-04T12:15:37.0000000Z",
  "Date Closed": "",
  "National Caveat": "",
  "Previous Location": "",
  "Previous Id": "",
  "Legacy Document Type": "",
  "Legacy Fileplan Target": "",
  "Legacy Numeric Class": "",
  "Legacy Folder Type": "",
  "Legacy Record Folder Identifier": "",
  "Legacy Copyright": "",
  "Legacy Last Modified Date": "",
  "Legacy Modifier": "",
  "Legacy Folder": "",
  "Legacy Content Type": "",
  "Legacy Expiry Review Date": "",
  "Legacy Last Action Date": "",
  "Legacy Protective Marking": "",
  "Legacy Tags": "",
  "Legacy References From Other Items": "",
  "Legacy Status on Transfer": "",
  "Legacy Date Closed": "",
  "Legacy Record Category Identifier": "",
  "Legacy Disposition as of Date": "",
  "Legacy Home Location": "",
  "Legacy Current Location": "",
  "Legacy Date File Received": "",
  "Legacy Date File Requested": "",
  "Legacy Date File Returned": "",
  "Legacy Minister": "",
  "Legacy MP": "",
  "Legacy Folder Notes": "",
  "Legacy Physical Item Location": "",
  "Legacy Request Type": "",
  "Legacy Descriptor": "",
  "Legacy Folder Document ID": "",
  "Legacy Document ID": "",
  "Legacy References To Other Items": "",
  "Legacy Custodian": "",
  "Legacy Additional Authors": "",
  "Legacy Document Link": "",
  "Legacy Folder Link": "",
  "Legacy Physical Format": false,
  "Content Type": "Document",
  "Previous Retention Policy": "",
  "Legacy Case Reference Number": "",
  "Created": "2020-06-04T12:15:39.0000000Z",
  "Document Modified By": "i:0#.f|membership|john.eager@beis.gov.uk",
  "Document Created By": "i:0#.f|membership|john.eager@beis.gov.uk",
  "Document ID Value": "2QFN7KK647Q6-1153347766-94790",
  "Modified": "2020-06-04T12:15:39.0000000Z",
  "Original Location": "/sites/beis/423/Shared Documents/# SMIP Governance/Tech Spec Feedback/Resolution Proposals (IRPs &amp; CRPs)/IRP628 Inconsistency in IRP461 - GBCS v3.2 sec 14.3.7 v0_1.docx"
}</LegacyData>
    <Document_x0020_Notes xmlns="12cff280-46d3-4d75-8ec5-390382d392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63AB09-C71E-4350-9DCD-9470BC9A6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4C8A7-10EA-4E61-848C-AB3DCAE55F31}">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3.xml><?xml version="1.0" encoding="utf-8"?>
<ds:datastoreItem xmlns:ds="http://schemas.openxmlformats.org/officeDocument/2006/customXml" ds:itemID="{F7B9E074-D014-41E3-80BF-6928D75DDE3D}">
  <ds:schemaRefs>
    <ds:schemaRef ds:uri="http://schemas.openxmlformats.org/officeDocument/2006/bibliography"/>
  </ds:schemaRefs>
</ds:datastoreItem>
</file>

<file path=customXml/itemProps4.xml><?xml version="1.0" encoding="utf-8"?>
<ds:datastoreItem xmlns:ds="http://schemas.openxmlformats.org/officeDocument/2006/customXml" ds:itemID="{5268CC30-172E-4CB0-B214-D73A4B3519F6}">
  <ds:schemaRefs>
    <ds:schemaRef ds:uri="http://schemas.microsoft.com/sharepoint/v3/contenttype/forms"/>
  </ds:schemaRefs>
</ds:datastoreItem>
</file>

<file path=customXml/itemProps5.xml><?xml version="1.0" encoding="utf-8"?>
<ds:datastoreItem xmlns:ds="http://schemas.openxmlformats.org/officeDocument/2006/customXml" ds:itemID="{7508D6E6-6FB4-4AF5-87F9-41E57589904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Khaleda Hussain</cp:lastModifiedBy>
  <cp:revision>2</cp:revision>
  <cp:lastPrinted>2015-04-24T12:01:00Z</cp:lastPrinted>
  <dcterms:created xsi:type="dcterms:W3CDTF">2021-01-14T17:02:00Z</dcterms:created>
  <dcterms:modified xsi:type="dcterms:W3CDTF">2021-01-14T17:02:00Z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lpwstr>1;#Smart Metering Implementation Programme|bb7732ef-da62-4d24-b6f9-71b10bcc1ea2</vt:lpwstr>
  </property>
  <property fmtid="{D5CDD505-2E9C-101B-9397-08002B2CF9AE}" pid="19" name="_dlc_DocIdItemGuid">
    <vt:lpwstr>5c8b9737-e791-467e-b88b-d4c4e606a009</vt:lpwstr>
  </property>
  <property fmtid="{D5CDD505-2E9C-101B-9397-08002B2CF9AE}" pid="20" name="MailSubject">
    <vt:lpwstr/>
  </property>
  <property fmtid="{D5CDD505-2E9C-101B-9397-08002B2CF9AE}" pid="21" name="Order">
    <vt:r8>9479000</vt:r8>
  </property>
  <property fmtid="{D5CDD505-2E9C-101B-9397-08002B2CF9AE}" pid="22" name="LegacyPaperReason">
    <vt:lpwstr/>
  </property>
  <property fmtid="{D5CDD505-2E9C-101B-9397-08002B2CF9AE}" pid="23" name="MailPreviewData">
    <vt:lpwstr/>
  </property>
  <property fmtid="{D5CDD505-2E9C-101B-9397-08002B2CF9AE}" pid="24" name="MailAttachments">
    <vt:bool>false</vt:bool>
  </property>
  <property fmtid="{D5CDD505-2E9C-101B-9397-08002B2CF9AE}" pid="25" name="LegacyMovementHistory">
    <vt:lpwstr/>
  </property>
  <property fmtid="{D5CDD505-2E9C-101B-9397-08002B2CF9AE}" pid="26" name="MailIn-Reply-To">
    <vt:lpwstr/>
  </property>
  <property fmtid="{D5CDD505-2E9C-101B-9397-08002B2CF9AE}" pid="27" name="Held By">
    <vt:lpwstr/>
  </property>
  <property fmtid="{D5CDD505-2E9C-101B-9397-08002B2CF9AE}" pid="28" name="MailTo">
    <vt:lpwstr/>
  </property>
  <property fmtid="{D5CDD505-2E9C-101B-9397-08002B2CF9AE}" pid="29" name="LegacyHistoricalBarcode">
    <vt:lpwstr/>
  </property>
  <property fmtid="{D5CDD505-2E9C-101B-9397-08002B2CF9AE}" pid="30" name="LegacySubject">
    <vt:lpwstr/>
  </property>
  <property fmtid="{D5CDD505-2E9C-101B-9397-08002B2CF9AE}" pid="31" name="MailFrom">
    <vt:lpwstr/>
  </property>
  <property fmtid="{D5CDD505-2E9C-101B-9397-08002B2CF9AE}" pid="32" name="MailOriginalSubject">
    <vt:lpwstr/>
  </property>
  <property fmtid="{D5CDD505-2E9C-101B-9397-08002B2CF9AE}" pid="33" name="LegacyAddresses">
    <vt:lpwstr/>
  </property>
  <property fmtid="{D5CDD505-2E9C-101B-9397-08002B2CF9AE}" pid="34" name="LegacyBarcode">
    <vt:lpwstr/>
  </property>
  <property fmtid="{D5CDD505-2E9C-101B-9397-08002B2CF9AE}" pid="35" name="MailReply-To">
    <vt:lpwstr/>
  </property>
  <property fmtid="{D5CDD505-2E9C-101B-9397-08002B2CF9AE}" pid="36" name="LegacyCaseReferenceNumber0">
    <vt:lpwstr/>
  </property>
  <property fmtid="{D5CDD505-2E9C-101B-9397-08002B2CF9AE}" pid="37" name="LegacyForeignBarcode">
    <vt:lpwstr/>
  </property>
  <property fmtid="{D5CDD505-2E9C-101B-9397-08002B2CF9AE}" pid="38" name="LegacyDisposition">
    <vt:lpwstr/>
  </property>
  <property fmtid="{D5CDD505-2E9C-101B-9397-08002B2CF9AE}" pid="39" name="LegacyOriginator">
    <vt:lpwstr/>
  </property>
  <property fmtid="{D5CDD505-2E9C-101B-9397-08002B2CF9AE}" pid="40" name="MailCc">
    <vt:lpwstr/>
  </property>
  <property fmtid="{D5CDD505-2E9C-101B-9397-08002B2CF9AE}" pid="41" name="LegacyPhysicalObject">
    <vt:bool>false</vt:bool>
  </property>
  <property fmtid="{D5CDD505-2E9C-101B-9397-08002B2CF9AE}" pid="42" name="LegacyAddressee">
    <vt:lpwstr/>
  </property>
  <property fmtid="{D5CDD505-2E9C-101B-9397-08002B2CF9AE}" pid="43" name="CIRRUSPreviousRetentionPolicy0">
    <vt:lpwstr/>
  </property>
  <property fmtid="{D5CDD505-2E9C-101B-9397-08002B2CF9AE}" pid="44" name="MailReferences">
    <vt:lpwstr/>
  </property>
  <property fmtid="{D5CDD505-2E9C-101B-9397-08002B2CF9AE}" pid="45" name="Barcode">
    <vt:lpwstr/>
  </property>
</Properties>
</file>